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2A" w:rsidRPr="008F522A" w:rsidRDefault="008F522A" w:rsidP="008F522A">
      <w:pPr>
        <w:rPr>
          <w:b/>
          <w:szCs w:val="22"/>
        </w:rPr>
      </w:pPr>
      <w:bookmarkStart w:id="0" w:name="_GoBack"/>
      <w:bookmarkEnd w:id="0"/>
      <w:r w:rsidRPr="008F522A">
        <w:rPr>
          <w:b/>
          <w:szCs w:val="22"/>
        </w:rPr>
        <w:t>Draaiboek</w:t>
      </w:r>
    </w:p>
    <w:p w:rsidR="008F522A" w:rsidRPr="008F522A" w:rsidRDefault="008F522A" w:rsidP="008F522A">
      <w:pPr>
        <w:rPr>
          <w:szCs w:val="22"/>
        </w:rPr>
      </w:pPr>
    </w:p>
    <w:tbl>
      <w:tblPr>
        <w:tblStyle w:val="Tabel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1502"/>
        <w:gridCol w:w="2952"/>
        <w:gridCol w:w="7346"/>
        <w:gridCol w:w="1818"/>
        <w:gridCol w:w="1996"/>
      </w:tblGrid>
      <w:tr w:rsidR="008F522A" w:rsidRPr="008F522A" w:rsidTr="006D61E7">
        <w:tc>
          <w:tcPr>
            <w:tcW w:w="489"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Tijd</w:t>
            </w:r>
          </w:p>
        </w:tc>
        <w:tc>
          <w:tcPr>
            <w:tcW w:w="953"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Inhoud</w:t>
            </w:r>
          </w:p>
        </w:tc>
        <w:tc>
          <w:tcPr>
            <w:tcW w:w="2360"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Werkvorm</w:t>
            </w:r>
          </w:p>
        </w:tc>
        <w:tc>
          <w:tcPr>
            <w:tcW w:w="590"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Wie</w:t>
            </w:r>
          </w:p>
        </w:tc>
        <w:tc>
          <w:tcPr>
            <w:tcW w:w="608" w:type="pct"/>
            <w:shd w:val="clear" w:color="auto" w:fill="808080" w:themeFill="background1" w:themeFillShade="80"/>
          </w:tcPr>
          <w:p w:rsidR="008F522A" w:rsidRPr="008F522A" w:rsidRDefault="008F522A" w:rsidP="006D61E7">
            <w:pPr>
              <w:rPr>
                <w:b/>
                <w:color w:val="FFFFFF" w:themeColor="background1"/>
                <w:szCs w:val="22"/>
              </w:rPr>
            </w:pPr>
            <w:r w:rsidRPr="008F522A">
              <w:rPr>
                <w:b/>
                <w:color w:val="FFFFFF" w:themeColor="background1"/>
                <w:szCs w:val="22"/>
              </w:rPr>
              <w:t>Hulpmiddelen</w:t>
            </w:r>
          </w:p>
        </w:tc>
      </w:tr>
      <w:tr w:rsidR="008F522A" w:rsidRPr="00BA2A20" w:rsidTr="006D61E7">
        <w:tc>
          <w:tcPr>
            <w:tcW w:w="489" w:type="pct"/>
          </w:tcPr>
          <w:p w:rsidR="001523AB" w:rsidRDefault="004B4476" w:rsidP="006D61E7">
            <w:pPr>
              <w:rPr>
                <w:szCs w:val="22"/>
              </w:rPr>
            </w:pPr>
            <w:r>
              <w:rPr>
                <w:szCs w:val="22"/>
              </w:rPr>
              <w:t>9.00-9.05</w:t>
            </w:r>
          </w:p>
          <w:p w:rsidR="008F522A" w:rsidRDefault="004B4476" w:rsidP="006D61E7">
            <w:pPr>
              <w:rPr>
                <w:szCs w:val="22"/>
              </w:rPr>
            </w:pPr>
            <w:r>
              <w:rPr>
                <w:szCs w:val="22"/>
              </w:rPr>
              <w:t>5</w:t>
            </w:r>
            <w:r w:rsidR="00570AA6">
              <w:rPr>
                <w:szCs w:val="22"/>
              </w:rPr>
              <w:t>’</w:t>
            </w:r>
          </w:p>
          <w:p w:rsidR="00570AA6" w:rsidRDefault="00570AA6" w:rsidP="006D61E7">
            <w:pPr>
              <w:rPr>
                <w:szCs w:val="22"/>
              </w:rPr>
            </w:pPr>
          </w:p>
          <w:p w:rsidR="00570AA6" w:rsidRDefault="00570AA6" w:rsidP="006D61E7">
            <w:pPr>
              <w:rPr>
                <w:szCs w:val="22"/>
              </w:rPr>
            </w:pPr>
          </w:p>
          <w:p w:rsidR="005C7068" w:rsidRDefault="005C7068" w:rsidP="006D61E7">
            <w:pPr>
              <w:rPr>
                <w:szCs w:val="22"/>
              </w:rPr>
            </w:pPr>
          </w:p>
          <w:p w:rsidR="005C7068" w:rsidRDefault="005C7068" w:rsidP="006D61E7">
            <w:pPr>
              <w:rPr>
                <w:szCs w:val="22"/>
              </w:rPr>
            </w:pPr>
          </w:p>
          <w:p w:rsidR="005C7068" w:rsidRDefault="005C7068" w:rsidP="006D61E7">
            <w:pPr>
              <w:rPr>
                <w:szCs w:val="22"/>
              </w:rPr>
            </w:pPr>
          </w:p>
          <w:p w:rsidR="005C7068" w:rsidRDefault="005C7068" w:rsidP="006D61E7">
            <w:pPr>
              <w:rPr>
                <w:szCs w:val="22"/>
              </w:rPr>
            </w:pPr>
          </w:p>
          <w:p w:rsidR="00CE69E6" w:rsidRPr="008F522A" w:rsidRDefault="00CE69E6" w:rsidP="006D61E7">
            <w:pPr>
              <w:rPr>
                <w:szCs w:val="22"/>
              </w:rPr>
            </w:pPr>
          </w:p>
        </w:tc>
        <w:tc>
          <w:tcPr>
            <w:tcW w:w="953" w:type="pct"/>
          </w:tcPr>
          <w:p w:rsidR="001C1F6E" w:rsidRPr="008F522A" w:rsidRDefault="00CF0CCD" w:rsidP="00CF0CCD">
            <w:pPr>
              <w:rPr>
                <w:szCs w:val="22"/>
              </w:rPr>
            </w:pPr>
            <w:r>
              <w:rPr>
                <w:szCs w:val="22"/>
              </w:rPr>
              <w:t>Welkom en kennismaking</w:t>
            </w:r>
          </w:p>
        </w:tc>
        <w:tc>
          <w:tcPr>
            <w:tcW w:w="2360" w:type="pct"/>
          </w:tcPr>
          <w:p w:rsidR="001C1F6E" w:rsidRDefault="00CF0CCD" w:rsidP="001C1F6E">
            <w:pPr>
              <w:rPr>
                <w:szCs w:val="22"/>
              </w:rPr>
            </w:pPr>
            <w:r>
              <w:rPr>
                <w:szCs w:val="22"/>
              </w:rPr>
              <w:t xml:space="preserve">Heet iedereen welkom en stel jezelf voor. </w:t>
            </w:r>
          </w:p>
          <w:p w:rsidR="00CF0CCD" w:rsidRDefault="00CF0CCD" w:rsidP="001C1F6E">
            <w:pPr>
              <w:rPr>
                <w:szCs w:val="22"/>
              </w:rPr>
            </w:pPr>
          </w:p>
          <w:p w:rsidR="00CF0CCD" w:rsidRDefault="00CF0CCD" w:rsidP="001C1F6E">
            <w:pPr>
              <w:rPr>
                <w:szCs w:val="22"/>
              </w:rPr>
            </w:pPr>
            <w:r>
              <w:rPr>
                <w:szCs w:val="22"/>
              </w:rPr>
              <w:t>Kennismakingsrondje:</w:t>
            </w:r>
          </w:p>
          <w:p w:rsidR="004B4476" w:rsidRDefault="004B4476" w:rsidP="004B4476">
            <w:pPr>
              <w:pStyle w:val="Lijstalinea"/>
              <w:numPr>
                <w:ilvl w:val="0"/>
                <w:numId w:val="15"/>
              </w:numPr>
              <w:rPr>
                <w:szCs w:val="22"/>
              </w:rPr>
            </w:pPr>
            <w:r>
              <w:rPr>
                <w:szCs w:val="22"/>
              </w:rPr>
              <w:t>Naam</w:t>
            </w:r>
            <w:r w:rsidR="00021340">
              <w:rPr>
                <w:szCs w:val="22"/>
              </w:rPr>
              <w:t xml:space="preserve"> (en functie indien van toepassing)</w:t>
            </w:r>
          </w:p>
          <w:p w:rsidR="004B4476" w:rsidRDefault="004B4476" w:rsidP="004B4476">
            <w:pPr>
              <w:pStyle w:val="Lijstalinea"/>
              <w:numPr>
                <w:ilvl w:val="0"/>
                <w:numId w:val="15"/>
              </w:numPr>
              <w:rPr>
                <w:szCs w:val="22"/>
              </w:rPr>
            </w:pPr>
            <w:r>
              <w:rPr>
                <w:szCs w:val="22"/>
              </w:rPr>
              <w:t>Heb je een specifieke rol binnen het opleiden?</w:t>
            </w:r>
          </w:p>
          <w:p w:rsidR="004B4476" w:rsidRPr="004B4476" w:rsidRDefault="004B4476" w:rsidP="004B4476">
            <w:pPr>
              <w:pStyle w:val="Lijstalinea"/>
              <w:numPr>
                <w:ilvl w:val="0"/>
                <w:numId w:val="15"/>
              </w:numPr>
              <w:rPr>
                <w:szCs w:val="22"/>
              </w:rPr>
            </w:pPr>
            <w:r>
              <w:rPr>
                <w:szCs w:val="22"/>
              </w:rPr>
              <w:t>Wat hoop je te leren vandaag?</w:t>
            </w:r>
          </w:p>
          <w:p w:rsidR="00477D31" w:rsidRDefault="00477D31" w:rsidP="00477D31">
            <w:pPr>
              <w:rPr>
                <w:szCs w:val="22"/>
              </w:rPr>
            </w:pPr>
          </w:p>
          <w:p w:rsidR="00477D31" w:rsidRDefault="00477D31" w:rsidP="00477D31">
            <w:pPr>
              <w:rPr>
                <w:szCs w:val="22"/>
              </w:rPr>
            </w:pPr>
            <w:r>
              <w:rPr>
                <w:szCs w:val="22"/>
              </w:rPr>
              <w:t>Schrijf de leerdoelen op een flap.</w:t>
            </w:r>
          </w:p>
          <w:p w:rsidR="004B4476" w:rsidRDefault="004B4476" w:rsidP="00477D31">
            <w:pPr>
              <w:rPr>
                <w:szCs w:val="22"/>
              </w:rPr>
            </w:pPr>
            <w:r>
              <w:rPr>
                <w:szCs w:val="22"/>
              </w:rPr>
              <w:t>Presenteer het programma</w:t>
            </w:r>
            <w:r w:rsidR="00824AD2">
              <w:rPr>
                <w:szCs w:val="22"/>
              </w:rPr>
              <w:t xml:space="preserve"> en de leerdoelen van de workshop</w:t>
            </w:r>
            <w:r>
              <w:rPr>
                <w:szCs w:val="22"/>
              </w:rPr>
              <w:t>.</w:t>
            </w:r>
          </w:p>
          <w:p w:rsidR="00477D31" w:rsidRPr="00477D31" w:rsidRDefault="00477D31" w:rsidP="00477D31">
            <w:pPr>
              <w:rPr>
                <w:szCs w:val="22"/>
              </w:rPr>
            </w:pPr>
          </w:p>
        </w:tc>
        <w:tc>
          <w:tcPr>
            <w:tcW w:w="590" w:type="pct"/>
          </w:tcPr>
          <w:p w:rsidR="006E5B86" w:rsidRPr="008F522A" w:rsidRDefault="006E5B86" w:rsidP="006D61E7">
            <w:pPr>
              <w:rPr>
                <w:szCs w:val="22"/>
              </w:rPr>
            </w:pPr>
          </w:p>
        </w:tc>
        <w:tc>
          <w:tcPr>
            <w:tcW w:w="608" w:type="pct"/>
          </w:tcPr>
          <w:p w:rsidR="00570AA6" w:rsidRPr="00D97BCC" w:rsidRDefault="004B4476" w:rsidP="006D61E7">
            <w:pPr>
              <w:rPr>
                <w:szCs w:val="22"/>
                <w:lang w:val="en-US"/>
              </w:rPr>
            </w:pPr>
            <w:r>
              <w:rPr>
                <w:szCs w:val="22"/>
                <w:lang w:val="en-US"/>
              </w:rPr>
              <w:t>PPT</w:t>
            </w:r>
          </w:p>
          <w:p w:rsidR="00477D31" w:rsidRPr="00D97BCC" w:rsidRDefault="00477D31" w:rsidP="006D61E7">
            <w:pPr>
              <w:rPr>
                <w:szCs w:val="22"/>
                <w:lang w:val="en-US"/>
              </w:rPr>
            </w:pPr>
            <w:r w:rsidRPr="00D97BCC">
              <w:rPr>
                <w:szCs w:val="22"/>
                <w:lang w:val="en-US"/>
              </w:rPr>
              <w:t>Flip-over</w:t>
            </w:r>
          </w:p>
          <w:p w:rsidR="00477D31" w:rsidRPr="00D97BCC" w:rsidRDefault="00477D31" w:rsidP="006D61E7">
            <w:pPr>
              <w:rPr>
                <w:szCs w:val="22"/>
                <w:lang w:val="en-US"/>
              </w:rPr>
            </w:pPr>
            <w:proofErr w:type="spellStart"/>
            <w:r w:rsidRPr="00D97BCC">
              <w:rPr>
                <w:szCs w:val="22"/>
                <w:lang w:val="en-US"/>
              </w:rPr>
              <w:t>Stiften</w:t>
            </w:r>
            <w:proofErr w:type="spellEnd"/>
          </w:p>
        </w:tc>
      </w:tr>
      <w:tr w:rsidR="008F522A" w:rsidRPr="008F522A" w:rsidTr="006D61E7">
        <w:tc>
          <w:tcPr>
            <w:tcW w:w="489" w:type="pct"/>
          </w:tcPr>
          <w:p w:rsidR="008F522A" w:rsidRDefault="00630BAE" w:rsidP="006D61E7">
            <w:pPr>
              <w:rPr>
                <w:szCs w:val="22"/>
              </w:rPr>
            </w:pPr>
            <w:r>
              <w:rPr>
                <w:szCs w:val="22"/>
              </w:rPr>
              <w:t>9.05-9.15</w:t>
            </w:r>
          </w:p>
          <w:p w:rsidR="004B4476" w:rsidRPr="00CD56E5" w:rsidRDefault="004B4476" w:rsidP="006D61E7">
            <w:pPr>
              <w:rPr>
                <w:szCs w:val="22"/>
              </w:rPr>
            </w:pPr>
            <w:r>
              <w:rPr>
                <w:szCs w:val="22"/>
              </w:rPr>
              <w:t>10’</w:t>
            </w:r>
          </w:p>
        </w:tc>
        <w:tc>
          <w:tcPr>
            <w:tcW w:w="953" w:type="pct"/>
          </w:tcPr>
          <w:p w:rsidR="008F522A" w:rsidRPr="008F522A" w:rsidRDefault="004B4476" w:rsidP="006D61E7">
            <w:pPr>
              <w:rPr>
                <w:szCs w:val="22"/>
              </w:rPr>
            </w:pPr>
            <w:r>
              <w:rPr>
                <w:szCs w:val="22"/>
              </w:rPr>
              <w:t xml:space="preserve">Individualisering van de opleiding en </w:t>
            </w:r>
            <w:proofErr w:type="spellStart"/>
            <w:r>
              <w:rPr>
                <w:szCs w:val="22"/>
              </w:rPr>
              <w:t>EPA’s</w:t>
            </w:r>
            <w:proofErr w:type="spellEnd"/>
          </w:p>
        </w:tc>
        <w:tc>
          <w:tcPr>
            <w:tcW w:w="2360" w:type="pct"/>
          </w:tcPr>
          <w:p w:rsidR="00570AA6" w:rsidRDefault="00763AC6" w:rsidP="004B4476">
            <w:pPr>
              <w:rPr>
                <w:szCs w:val="22"/>
              </w:rPr>
            </w:pPr>
            <w:r>
              <w:rPr>
                <w:szCs w:val="22"/>
              </w:rPr>
              <w:t xml:space="preserve">Licht toe </w:t>
            </w:r>
            <w:r w:rsidR="00021340">
              <w:rPr>
                <w:szCs w:val="22"/>
              </w:rPr>
              <w:t xml:space="preserve">en </w:t>
            </w:r>
            <w:r>
              <w:rPr>
                <w:szCs w:val="22"/>
              </w:rPr>
              <w:t>herhaal</w:t>
            </w:r>
            <w:r w:rsidR="004B4476">
              <w:rPr>
                <w:szCs w:val="22"/>
              </w:rPr>
              <w:t>:</w:t>
            </w:r>
          </w:p>
          <w:p w:rsidR="004B4476" w:rsidRDefault="00021340" w:rsidP="004B4476">
            <w:pPr>
              <w:pStyle w:val="Lijstalinea"/>
              <w:numPr>
                <w:ilvl w:val="0"/>
                <w:numId w:val="15"/>
              </w:numPr>
              <w:rPr>
                <w:szCs w:val="22"/>
              </w:rPr>
            </w:pPr>
            <w:r>
              <w:rPr>
                <w:szCs w:val="22"/>
              </w:rPr>
              <w:t>Aanleiding i</w:t>
            </w:r>
            <w:r w:rsidR="004B4476">
              <w:rPr>
                <w:szCs w:val="22"/>
              </w:rPr>
              <w:t>ndividualisering</w:t>
            </w:r>
          </w:p>
          <w:p w:rsidR="004B4476" w:rsidRDefault="004B4476" w:rsidP="004B4476">
            <w:pPr>
              <w:pStyle w:val="Lijstalinea"/>
              <w:numPr>
                <w:ilvl w:val="0"/>
                <w:numId w:val="15"/>
              </w:numPr>
              <w:rPr>
                <w:szCs w:val="22"/>
              </w:rPr>
            </w:pPr>
            <w:r>
              <w:rPr>
                <w:szCs w:val="22"/>
              </w:rPr>
              <w:t xml:space="preserve">Wat zijn </w:t>
            </w:r>
            <w:proofErr w:type="spellStart"/>
            <w:r>
              <w:rPr>
                <w:szCs w:val="22"/>
              </w:rPr>
              <w:t>EPA’s</w:t>
            </w:r>
            <w:proofErr w:type="spellEnd"/>
            <w:r>
              <w:rPr>
                <w:szCs w:val="22"/>
              </w:rPr>
              <w:t xml:space="preserve">? </w:t>
            </w:r>
          </w:p>
          <w:p w:rsidR="004B4476" w:rsidRDefault="004B4476" w:rsidP="004B4476">
            <w:pPr>
              <w:pStyle w:val="Lijstalinea"/>
              <w:numPr>
                <w:ilvl w:val="0"/>
                <w:numId w:val="15"/>
              </w:numPr>
              <w:rPr>
                <w:szCs w:val="22"/>
              </w:rPr>
            </w:pPr>
            <w:r>
              <w:rPr>
                <w:szCs w:val="22"/>
              </w:rPr>
              <w:t>IOP en portfolio</w:t>
            </w:r>
          </w:p>
          <w:p w:rsidR="00361C60" w:rsidRPr="00361C60" w:rsidRDefault="00361C60" w:rsidP="00361C60">
            <w:pPr>
              <w:rPr>
                <w:szCs w:val="22"/>
              </w:rPr>
            </w:pPr>
          </w:p>
        </w:tc>
        <w:tc>
          <w:tcPr>
            <w:tcW w:w="590" w:type="pct"/>
          </w:tcPr>
          <w:p w:rsidR="008F522A" w:rsidRPr="008F522A" w:rsidRDefault="008F522A" w:rsidP="006D61E7">
            <w:pPr>
              <w:rPr>
                <w:szCs w:val="22"/>
              </w:rPr>
            </w:pPr>
          </w:p>
        </w:tc>
        <w:tc>
          <w:tcPr>
            <w:tcW w:w="608" w:type="pct"/>
          </w:tcPr>
          <w:p w:rsidR="008F522A" w:rsidRPr="008F522A" w:rsidRDefault="00630BAE" w:rsidP="006D61E7">
            <w:pPr>
              <w:rPr>
                <w:szCs w:val="22"/>
              </w:rPr>
            </w:pPr>
            <w:r>
              <w:rPr>
                <w:szCs w:val="22"/>
              </w:rPr>
              <w:t>PPT</w:t>
            </w:r>
          </w:p>
        </w:tc>
      </w:tr>
      <w:tr w:rsidR="00601A6F" w:rsidRPr="008F522A" w:rsidTr="006D61E7">
        <w:tc>
          <w:tcPr>
            <w:tcW w:w="489" w:type="pct"/>
          </w:tcPr>
          <w:p w:rsidR="00601A6F" w:rsidRDefault="00630BAE" w:rsidP="006D61E7">
            <w:pPr>
              <w:rPr>
                <w:szCs w:val="22"/>
              </w:rPr>
            </w:pPr>
            <w:r>
              <w:rPr>
                <w:szCs w:val="22"/>
              </w:rPr>
              <w:t>9.15-9.30</w:t>
            </w:r>
          </w:p>
          <w:p w:rsidR="004B4476" w:rsidRPr="00CF0CCD" w:rsidRDefault="004B4476" w:rsidP="006D61E7">
            <w:pPr>
              <w:rPr>
                <w:szCs w:val="22"/>
              </w:rPr>
            </w:pPr>
            <w:r>
              <w:rPr>
                <w:szCs w:val="22"/>
              </w:rPr>
              <w:t>15’</w:t>
            </w:r>
          </w:p>
        </w:tc>
        <w:tc>
          <w:tcPr>
            <w:tcW w:w="953" w:type="pct"/>
          </w:tcPr>
          <w:p w:rsidR="00601A6F" w:rsidRDefault="004B4476" w:rsidP="006D61E7">
            <w:pPr>
              <w:rPr>
                <w:szCs w:val="22"/>
              </w:rPr>
            </w:pPr>
            <w:proofErr w:type="spellStart"/>
            <w:r>
              <w:rPr>
                <w:szCs w:val="22"/>
              </w:rPr>
              <w:t>EPA’s</w:t>
            </w:r>
            <w:proofErr w:type="spellEnd"/>
            <w:r>
              <w:rPr>
                <w:szCs w:val="22"/>
              </w:rPr>
              <w:t xml:space="preserve"> in de opleiding</w:t>
            </w:r>
          </w:p>
        </w:tc>
        <w:tc>
          <w:tcPr>
            <w:tcW w:w="2360" w:type="pct"/>
          </w:tcPr>
          <w:p w:rsidR="00601A6F" w:rsidRDefault="00763AC6" w:rsidP="006D61E7">
            <w:pPr>
              <w:rPr>
                <w:szCs w:val="22"/>
              </w:rPr>
            </w:pPr>
            <w:r>
              <w:rPr>
                <w:szCs w:val="22"/>
              </w:rPr>
              <w:t xml:space="preserve">Licht </w:t>
            </w:r>
            <w:r w:rsidR="004B4476">
              <w:rPr>
                <w:szCs w:val="22"/>
              </w:rPr>
              <w:t>het nieuw</w:t>
            </w:r>
            <w:r w:rsidR="00C35098">
              <w:rPr>
                <w:szCs w:val="22"/>
              </w:rPr>
              <w:t>e landelijke opleidingsplan (indien al beschikbaar ook het regionale opleidingsplan)</w:t>
            </w:r>
            <w:r>
              <w:rPr>
                <w:szCs w:val="22"/>
              </w:rPr>
              <w:t xml:space="preserve"> toe:</w:t>
            </w:r>
          </w:p>
          <w:p w:rsidR="004B4476" w:rsidRDefault="004B4476" w:rsidP="004B4476">
            <w:pPr>
              <w:pStyle w:val="Lijstalinea"/>
              <w:numPr>
                <w:ilvl w:val="0"/>
                <w:numId w:val="15"/>
              </w:numPr>
              <w:rPr>
                <w:szCs w:val="22"/>
              </w:rPr>
            </w:pPr>
            <w:r>
              <w:rPr>
                <w:szCs w:val="22"/>
              </w:rPr>
              <w:t>Structuur van de opleiding</w:t>
            </w:r>
          </w:p>
          <w:p w:rsidR="004B4476" w:rsidRDefault="004B4476" w:rsidP="004B4476">
            <w:pPr>
              <w:pStyle w:val="Lijstalinea"/>
              <w:numPr>
                <w:ilvl w:val="0"/>
                <w:numId w:val="15"/>
              </w:numPr>
              <w:rPr>
                <w:szCs w:val="22"/>
              </w:rPr>
            </w:pPr>
            <w:r>
              <w:rPr>
                <w:szCs w:val="22"/>
              </w:rPr>
              <w:t xml:space="preserve">Welke </w:t>
            </w:r>
            <w:r w:rsidR="00C35098">
              <w:rPr>
                <w:szCs w:val="22"/>
              </w:rPr>
              <w:t>(</w:t>
            </w:r>
            <w:r>
              <w:rPr>
                <w:szCs w:val="22"/>
              </w:rPr>
              <w:t>hoofd- en sub</w:t>
            </w:r>
            <w:r w:rsidR="00C35098">
              <w:rPr>
                <w:szCs w:val="22"/>
              </w:rPr>
              <w:t>)</w:t>
            </w:r>
            <w:r>
              <w:rPr>
                <w:szCs w:val="22"/>
              </w:rPr>
              <w:t xml:space="preserve"> </w:t>
            </w:r>
            <w:proofErr w:type="spellStart"/>
            <w:r>
              <w:rPr>
                <w:szCs w:val="22"/>
              </w:rPr>
              <w:t>EPA’s</w:t>
            </w:r>
            <w:proofErr w:type="spellEnd"/>
            <w:r>
              <w:rPr>
                <w:szCs w:val="22"/>
              </w:rPr>
              <w:t xml:space="preserve"> zijn er? </w:t>
            </w:r>
          </w:p>
          <w:p w:rsidR="004B4476" w:rsidRDefault="004B4476" w:rsidP="004B4476">
            <w:pPr>
              <w:pStyle w:val="Lijstalinea"/>
              <w:numPr>
                <w:ilvl w:val="0"/>
                <w:numId w:val="15"/>
              </w:numPr>
              <w:rPr>
                <w:szCs w:val="22"/>
              </w:rPr>
            </w:pPr>
            <w:r>
              <w:rPr>
                <w:szCs w:val="22"/>
              </w:rPr>
              <w:t>Rode draden</w:t>
            </w:r>
          </w:p>
          <w:p w:rsidR="00361C60" w:rsidRPr="00361C60" w:rsidRDefault="00361C60" w:rsidP="00361C60">
            <w:pPr>
              <w:rPr>
                <w:szCs w:val="22"/>
              </w:rPr>
            </w:pPr>
          </w:p>
        </w:tc>
        <w:tc>
          <w:tcPr>
            <w:tcW w:w="590" w:type="pct"/>
          </w:tcPr>
          <w:p w:rsidR="00601A6F" w:rsidRPr="008F522A" w:rsidRDefault="00601A6F" w:rsidP="006D61E7">
            <w:pPr>
              <w:rPr>
                <w:szCs w:val="22"/>
              </w:rPr>
            </w:pPr>
          </w:p>
        </w:tc>
        <w:tc>
          <w:tcPr>
            <w:tcW w:w="608" w:type="pct"/>
          </w:tcPr>
          <w:p w:rsidR="00601A6F" w:rsidRDefault="00630BAE" w:rsidP="006D61E7">
            <w:pPr>
              <w:rPr>
                <w:szCs w:val="22"/>
              </w:rPr>
            </w:pPr>
            <w:r>
              <w:rPr>
                <w:szCs w:val="22"/>
              </w:rPr>
              <w:t>PPT</w:t>
            </w:r>
          </w:p>
          <w:p w:rsidR="00C35098" w:rsidRPr="008F522A" w:rsidRDefault="00C35098" w:rsidP="006D61E7">
            <w:pPr>
              <w:rPr>
                <w:szCs w:val="22"/>
              </w:rPr>
            </w:pPr>
            <w:r>
              <w:rPr>
                <w:szCs w:val="22"/>
              </w:rPr>
              <w:t>Opleidingsplan</w:t>
            </w:r>
          </w:p>
        </w:tc>
      </w:tr>
      <w:tr w:rsidR="00880CD4" w:rsidRPr="008B11A6" w:rsidTr="006D61E7">
        <w:tc>
          <w:tcPr>
            <w:tcW w:w="489" w:type="pct"/>
          </w:tcPr>
          <w:p w:rsidR="00880CD4" w:rsidRDefault="00361C60" w:rsidP="006D61E7">
            <w:pPr>
              <w:rPr>
                <w:szCs w:val="22"/>
              </w:rPr>
            </w:pPr>
            <w:r>
              <w:rPr>
                <w:szCs w:val="22"/>
              </w:rPr>
              <w:t>9.30-9.45</w:t>
            </w:r>
          </w:p>
          <w:p w:rsidR="001203DB" w:rsidRPr="008F522A" w:rsidRDefault="00361C60" w:rsidP="006D61E7">
            <w:pPr>
              <w:rPr>
                <w:szCs w:val="22"/>
              </w:rPr>
            </w:pPr>
            <w:r>
              <w:rPr>
                <w:szCs w:val="22"/>
              </w:rPr>
              <w:t>15</w:t>
            </w:r>
            <w:r w:rsidR="001203DB">
              <w:rPr>
                <w:szCs w:val="22"/>
              </w:rPr>
              <w:t>’</w:t>
            </w:r>
          </w:p>
        </w:tc>
        <w:tc>
          <w:tcPr>
            <w:tcW w:w="953" w:type="pct"/>
          </w:tcPr>
          <w:p w:rsidR="00915962" w:rsidRDefault="001203DB" w:rsidP="001203DB">
            <w:pPr>
              <w:rPr>
                <w:szCs w:val="22"/>
              </w:rPr>
            </w:pPr>
            <w:r>
              <w:rPr>
                <w:szCs w:val="22"/>
              </w:rPr>
              <w:t xml:space="preserve">Wat is </w:t>
            </w:r>
            <w:proofErr w:type="spellStart"/>
            <w:r>
              <w:rPr>
                <w:szCs w:val="22"/>
              </w:rPr>
              <w:t>bekwaamverklaren</w:t>
            </w:r>
            <w:proofErr w:type="spellEnd"/>
            <w:r>
              <w:rPr>
                <w:szCs w:val="22"/>
              </w:rPr>
              <w:t>?</w:t>
            </w:r>
          </w:p>
        </w:tc>
        <w:tc>
          <w:tcPr>
            <w:tcW w:w="2360" w:type="pct"/>
          </w:tcPr>
          <w:p w:rsidR="008D55E9" w:rsidRDefault="00763AC6" w:rsidP="006D61E7">
            <w:pPr>
              <w:rPr>
                <w:szCs w:val="22"/>
              </w:rPr>
            </w:pPr>
            <w:r>
              <w:rPr>
                <w:szCs w:val="22"/>
              </w:rPr>
              <w:t>Geef een t</w:t>
            </w:r>
            <w:r w:rsidR="001203DB">
              <w:rPr>
                <w:szCs w:val="22"/>
              </w:rPr>
              <w:t>oelichting op bekwaam verklaren, wat is het precies?</w:t>
            </w:r>
            <w:r w:rsidR="00C35098">
              <w:rPr>
                <w:szCs w:val="22"/>
              </w:rPr>
              <w:t xml:space="preserve"> Gebruik hiervoor de animatie. </w:t>
            </w:r>
          </w:p>
          <w:p w:rsidR="001203DB" w:rsidRDefault="001203DB" w:rsidP="006D61E7">
            <w:pPr>
              <w:rPr>
                <w:szCs w:val="22"/>
              </w:rPr>
            </w:pPr>
          </w:p>
          <w:p w:rsidR="00C35098" w:rsidRDefault="00C35098" w:rsidP="006D61E7">
            <w:pPr>
              <w:rPr>
                <w:szCs w:val="22"/>
              </w:rPr>
            </w:pPr>
            <w:r>
              <w:rPr>
                <w:szCs w:val="22"/>
              </w:rPr>
              <w:t xml:space="preserve">Het proces van </w:t>
            </w:r>
            <w:proofErr w:type="spellStart"/>
            <w:r>
              <w:rPr>
                <w:szCs w:val="22"/>
              </w:rPr>
              <w:t>bekwaamverklaren</w:t>
            </w:r>
            <w:proofErr w:type="spellEnd"/>
            <w:r>
              <w:rPr>
                <w:szCs w:val="22"/>
              </w:rPr>
              <w:t xml:space="preserve"> kan op verschillende manieren worden ingericht. Verschillende opleidingen kiezen voor verschillende methoden, passend bij hun discipline. De kindergeneeskunde heeft dit heel uitgebreid uitgewerkt</w:t>
            </w:r>
            <w:r w:rsidR="00763AC6">
              <w:rPr>
                <w:szCs w:val="22"/>
              </w:rPr>
              <w:t xml:space="preserve"> en wordt gezien als een best </w:t>
            </w:r>
            <w:proofErr w:type="spellStart"/>
            <w:r w:rsidR="00763AC6">
              <w:rPr>
                <w:szCs w:val="22"/>
              </w:rPr>
              <w:t>practice</w:t>
            </w:r>
            <w:proofErr w:type="spellEnd"/>
            <w:r w:rsidR="00763AC6">
              <w:rPr>
                <w:szCs w:val="22"/>
              </w:rPr>
              <w:t xml:space="preserve">. </w:t>
            </w:r>
          </w:p>
          <w:p w:rsidR="00763AC6" w:rsidRDefault="00763AC6" w:rsidP="006D61E7">
            <w:pPr>
              <w:rPr>
                <w:szCs w:val="22"/>
              </w:rPr>
            </w:pPr>
          </w:p>
          <w:p w:rsidR="001203DB" w:rsidRDefault="00763AC6" w:rsidP="006D61E7">
            <w:pPr>
              <w:rPr>
                <w:szCs w:val="22"/>
              </w:rPr>
            </w:pPr>
            <w:r>
              <w:rPr>
                <w:szCs w:val="22"/>
              </w:rPr>
              <w:t>Laat het f</w:t>
            </w:r>
            <w:r w:rsidR="001203DB">
              <w:rPr>
                <w:szCs w:val="22"/>
              </w:rPr>
              <w:t xml:space="preserve">ilmpje met ervaringen van kindergeneeskunde zien en </w:t>
            </w:r>
            <w:r>
              <w:rPr>
                <w:szCs w:val="22"/>
              </w:rPr>
              <w:t>licht nader toe</w:t>
            </w:r>
            <w:r w:rsidR="001203DB">
              <w:rPr>
                <w:szCs w:val="22"/>
              </w:rPr>
              <w:t xml:space="preserve"> hoe hun OOG bespreking eruit ziet.</w:t>
            </w:r>
            <w:r>
              <w:rPr>
                <w:szCs w:val="22"/>
              </w:rPr>
              <w:t xml:space="preserve"> Benoem ook </w:t>
            </w:r>
            <w:r w:rsidR="001203DB">
              <w:rPr>
                <w:szCs w:val="22"/>
              </w:rPr>
              <w:t>voorbeelden van andere opleidingen (</w:t>
            </w:r>
            <w:r>
              <w:rPr>
                <w:szCs w:val="22"/>
              </w:rPr>
              <w:t xml:space="preserve">deze </w:t>
            </w:r>
            <w:r w:rsidR="001203DB">
              <w:rPr>
                <w:szCs w:val="22"/>
              </w:rPr>
              <w:t xml:space="preserve">zijn minder concreet dan kindergeneeskunde). </w:t>
            </w:r>
          </w:p>
          <w:p w:rsidR="00763AC6" w:rsidRDefault="00763AC6" w:rsidP="006D61E7">
            <w:pPr>
              <w:rPr>
                <w:szCs w:val="22"/>
              </w:rPr>
            </w:pPr>
          </w:p>
          <w:p w:rsidR="00763AC6" w:rsidRDefault="00763AC6" w:rsidP="00763AC6">
            <w:pPr>
              <w:rPr>
                <w:szCs w:val="22"/>
              </w:rPr>
            </w:pPr>
            <w:r>
              <w:rPr>
                <w:szCs w:val="22"/>
              </w:rPr>
              <w:t xml:space="preserve">Als opleidingsgroep </w:t>
            </w:r>
            <w:proofErr w:type="spellStart"/>
            <w:r>
              <w:rPr>
                <w:szCs w:val="22"/>
              </w:rPr>
              <w:t>zul</w:t>
            </w:r>
            <w:proofErr w:type="spellEnd"/>
            <w:r>
              <w:rPr>
                <w:szCs w:val="22"/>
              </w:rPr>
              <w:t xml:space="preserve"> je altijd zelf nog een deel van dit proces moeten inrichten, toegespitst op jullie specifieke context (grote vs. kleine opleidingsgroep, aantal </w:t>
            </w:r>
            <w:proofErr w:type="spellStart"/>
            <w:r>
              <w:rPr>
                <w:szCs w:val="22"/>
              </w:rPr>
              <w:t>EPA’s</w:t>
            </w:r>
            <w:proofErr w:type="spellEnd"/>
            <w:r>
              <w:rPr>
                <w:szCs w:val="22"/>
              </w:rPr>
              <w:t xml:space="preserve"> in opleidingsplan, verschillen in mate van uitwerking in het landelijk opleidingsplan). </w:t>
            </w:r>
          </w:p>
          <w:p w:rsidR="00361C60" w:rsidRDefault="00361C60" w:rsidP="00763AC6">
            <w:pPr>
              <w:rPr>
                <w:szCs w:val="22"/>
              </w:rPr>
            </w:pPr>
          </w:p>
          <w:p w:rsidR="00361C60" w:rsidRDefault="00361C60" w:rsidP="00763AC6">
            <w:pPr>
              <w:rPr>
                <w:szCs w:val="22"/>
              </w:rPr>
            </w:pPr>
            <w:r>
              <w:rPr>
                <w:szCs w:val="22"/>
              </w:rPr>
              <w:t>Discussievraag:</w:t>
            </w:r>
          </w:p>
          <w:p w:rsidR="00361C60" w:rsidRDefault="00361C60" w:rsidP="00763AC6">
            <w:pPr>
              <w:rPr>
                <w:i/>
                <w:szCs w:val="22"/>
              </w:rPr>
            </w:pPr>
            <w:r w:rsidRPr="00361C60">
              <w:rPr>
                <w:i/>
                <w:szCs w:val="22"/>
              </w:rPr>
              <w:t xml:space="preserve">Wat als er een incident plaatsvindt nadat de AIOS zijn bekwaamverklaring heeft </w:t>
            </w:r>
            <w:r>
              <w:rPr>
                <w:i/>
                <w:szCs w:val="22"/>
              </w:rPr>
              <w:lastRenderedPageBreak/>
              <w:t>gekregen?</w:t>
            </w:r>
          </w:p>
          <w:p w:rsidR="00361C60" w:rsidRPr="00361C60" w:rsidRDefault="00361C60" w:rsidP="00763AC6">
            <w:pPr>
              <w:rPr>
                <w:szCs w:val="22"/>
              </w:rPr>
            </w:pPr>
          </w:p>
        </w:tc>
        <w:tc>
          <w:tcPr>
            <w:tcW w:w="590" w:type="pct"/>
          </w:tcPr>
          <w:p w:rsidR="00880CD4" w:rsidRPr="008F522A" w:rsidRDefault="00880CD4" w:rsidP="006D61E7">
            <w:pPr>
              <w:rPr>
                <w:szCs w:val="22"/>
              </w:rPr>
            </w:pPr>
          </w:p>
        </w:tc>
        <w:tc>
          <w:tcPr>
            <w:tcW w:w="608" w:type="pct"/>
          </w:tcPr>
          <w:p w:rsidR="00630BAE" w:rsidRDefault="00630BAE" w:rsidP="006D61E7">
            <w:pPr>
              <w:rPr>
                <w:szCs w:val="22"/>
              </w:rPr>
            </w:pPr>
            <w:r>
              <w:rPr>
                <w:szCs w:val="22"/>
              </w:rPr>
              <w:t>PPT</w:t>
            </w:r>
          </w:p>
          <w:p w:rsidR="00C35098" w:rsidRDefault="008F752E" w:rsidP="006D61E7">
            <w:pPr>
              <w:rPr>
                <w:szCs w:val="22"/>
              </w:rPr>
            </w:pPr>
            <w:hyperlink r:id="rId6" w:history="1">
              <w:r w:rsidR="00C35098" w:rsidRPr="00C35098">
                <w:rPr>
                  <w:rStyle w:val="Hyperlink"/>
                  <w:szCs w:val="22"/>
                </w:rPr>
                <w:t>Animatie Bekwaam verklaren</w:t>
              </w:r>
            </w:hyperlink>
          </w:p>
          <w:p w:rsidR="008B11A6" w:rsidRPr="00C048A2" w:rsidRDefault="008F752E" w:rsidP="006D61E7">
            <w:pPr>
              <w:rPr>
                <w:szCs w:val="22"/>
              </w:rPr>
            </w:pPr>
            <w:hyperlink r:id="rId7" w:history="1">
              <w:r w:rsidR="001203DB" w:rsidRPr="001203DB">
                <w:rPr>
                  <w:rStyle w:val="Hyperlink"/>
                  <w:szCs w:val="22"/>
                </w:rPr>
                <w:t>Filmpje Kindergeneeskunde</w:t>
              </w:r>
            </w:hyperlink>
          </w:p>
        </w:tc>
      </w:tr>
      <w:tr w:rsidR="001203DB" w:rsidRPr="008B11A6" w:rsidTr="006D61E7">
        <w:tc>
          <w:tcPr>
            <w:tcW w:w="489" w:type="pct"/>
          </w:tcPr>
          <w:p w:rsidR="001203DB" w:rsidRDefault="00361C60" w:rsidP="006D61E7">
            <w:pPr>
              <w:rPr>
                <w:szCs w:val="22"/>
              </w:rPr>
            </w:pPr>
            <w:r>
              <w:rPr>
                <w:szCs w:val="22"/>
              </w:rPr>
              <w:lastRenderedPageBreak/>
              <w:t>9.45</w:t>
            </w:r>
            <w:r w:rsidR="00630BAE">
              <w:rPr>
                <w:szCs w:val="22"/>
              </w:rPr>
              <w:t>-1</w:t>
            </w:r>
            <w:r>
              <w:rPr>
                <w:szCs w:val="22"/>
              </w:rPr>
              <w:t>0.40</w:t>
            </w:r>
          </w:p>
          <w:p w:rsidR="001203DB" w:rsidRDefault="00361C60" w:rsidP="006D61E7">
            <w:pPr>
              <w:rPr>
                <w:szCs w:val="22"/>
              </w:rPr>
            </w:pPr>
            <w:r>
              <w:rPr>
                <w:szCs w:val="22"/>
              </w:rPr>
              <w:t>55</w:t>
            </w:r>
            <w:r w:rsidR="001203DB">
              <w:rPr>
                <w:szCs w:val="22"/>
              </w:rPr>
              <w:t>’</w:t>
            </w:r>
          </w:p>
        </w:tc>
        <w:tc>
          <w:tcPr>
            <w:tcW w:w="953" w:type="pct"/>
          </w:tcPr>
          <w:p w:rsidR="001203DB" w:rsidRDefault="001203DB" w:rsidP="001203DB">
            <w:pPr>
              <w:rPr>
                <w:szCs w:val="22"/>
              </w:rPr>
            </w:pPr>
            <w:r>
              <w:rPr>
                <w:szCs w:val="22"/>
              </w:rPr>
              <w:t>Inrichting van proces van bekwaam verklaren</w:t>
            </w:r>
          </w:p>
        </w:tc>
        <w:tc>
          <w:tcPr>
            <w:tcW w:w="2360" w:type="pct"/>
          </w:tcPr>
          <w:p w:rsidR="001203DB" w:rsidRDefault="001203DB" w:rsidP="006D61E7">
            <w:pPr>
              <w:rPr>
                <w:szCs w:val="22"/>
              </w:rPr>
            </w:pPr>
            <w:r>
              <w:rPr>
                <w:szCs w:val="22"/>
              </w:rPr>
              <w:t xml:space="preserve">Hoe kun je een OOG bespreking inrichten voor je eigen lokale situatie? </w:t>
            </w:r>
          </w:p>
          <w:p w:rsidR="001203DB" w:rsidRDefault="001203DB" w:rsidP="006D61E7">
            <w:pPr>
              <w:rPr>
                <w:szCs w:val="22"/>
              </w:rPr>
            </w:pPr>
          </w:p>
          <w:p w:rsidR="001203DB" w:rsidRDefault="002D4DC3" w:rsidP="006D61E7">
            <w:pPr>
              <w:rPr>
                <w:szCs w:val="22"/>
              </w:rPr>
            </w:pPr>
            <w:r>
              <w:rPr>
                <w:szCs w:val="22"/>
              </w:rPr>
              <w:t>Schrijf</w:t>
            </w:r>
            <w:r w:rsidR="001203DB">
              <w:rPr>
                <w:szCs w:val="22"/>
              </w:rPr>
              <w:t xml:space="preserve"> de volgende vragen </w:t>
            </w:r>
            <w:r>
              <w:rPr>
                <w:szCs w:val="22"/>
              </w:rPr>
              <w:t xml:space="preserve">op </w:t>
            </w:r>
            <w:proofErr w:type="spellStart"/>
            <w:r>
              <w:rPr>
                <w:szCs w:val="22"/>
              </w:rPr>
              <w:t>flaps</w:t>
            </w:r>
            <w:proofErr w:type="spellEnd"/>
            <w:r>
              <w:rPr>
                <w:szCs w:val="22"/>
              </w:rPr>
              <w:t xml:space="preserve"> (1 per flap)</w:t>
            </w:r>
            <w:r w:rsidR="001203DB">
              <w:rPr>
                <w:szCs w:val="22"/>
              </w:rPr>
              <w:t>:</w:t>
            </w:r>
          </w:p>
          <w:p w:rsidR="005E533B" w:rsidRPr="005E533B" w:rsidRDefault="00251AAC" w:rsidP="005E533B">
            <w:pPr>
              <w:pStyle w:val="Lijstalinea"/>
              <w:numPr>
                <w:ilvl w:val="0"/>
                <w:numId w:val="19"/>
              </w:numPr>
              <w:rPr>
                <w:rFonts w:cs="Arial"/>
              </w:rPr>
            </w:pPr>
            <w:r>
              <w:rPr>
                <w:rFonts w:cs="Arial"/>
              </w:rPr>
              <w:t xml:space="preserve">a. </w:t>
            </w:r>
            <w:r w:rsidR="005E533B" w:rsidRPr="005E533B">
              <w:rPr>
                <w:rFonts w:cs="Arial"/>
              </w:rPr>
              <w:t xml:space="preserve">Wat verwacht je in het </w:t>
            </w:r>
            <w:proofErr w:type="spellStart"/>
            <w:r w:rsidR="005E533B" w:rsidRPr="005E533B">
              <w:rPr>
                <w:rFonts w:cs="Arial"/>
              </w:rPr>
              <w:t>bekwaamverklaren</w:t>
            </w:r>
            <w:proofErr w:type="spellEnd"/>
            <w:r w:rsidR="005E533B" w:rsidRPr="005E533B">
              <w:rPr>
                <w:rFonts w:cs="Arial"/>
              </w:rPr>
              <w:t xml:space="preserve"> van:</w:t>
            </w:r>
          </w:p>
          <w:p w:rsidR="005E533B" w:rsidRDefault="005E533B" w:rsidP="005E533B">
            <w:pPr>
              <w:pStyle w:val="Lijstalinea"/>
              <w:numPr>
                <w:ilvl w:val="1"/>
                <w:numId w:val="15"/>
              </w:numPr>
              <w:rPr>
                <w:rFonts w:cs="Arial"/>
              </w:rPr>
            </w:pPr>
            <w:r>
              <w:rPr>
                <w:rFonts w:cs="Arial"/>
              </w:rPr>
              <w:t>de opleider?</w:t>
            </w:r>
          </w:p>
          <w:p w:rsidR="005E533B" w:rsidRDefault="005E533B" w:rsidP="005E533B">
            <w:pPr>
              <w:pStyle w:val="Lijstalinea"/>
              <w:numPr>
                <w:ilvl w:val="1"/>
                <w:numId w:val="15"/>
              </w:numPr>
              <w:rPr>
                <w:rFonts w:cs="Arial"/>
              </w:rPr>
            </w:pPr>
            <w:r>
              <w:rPr>
                <w:rFonts w:cs="Arial"/>
              </w:rPr>
              <w:t>de opleidingsgroep?</w:t>
            </w:r>
          </w:p>
          <w:p w:rsidR="001203DB" w:rsidRPr="001203DB" w:rsidRDefault="001203DB" w:rsidP="005E533B">
            <w:pPr>
              <w:pStyle w:val="Lijstalinea"/>
              <w:numPr>
                <w:ilvl w:val="1"/>
                <w:numId w:val="15"/>
              </w:numPr>
              <w:rPr>
                <w:rFonts w:cs="Arial"/>
              </w:rPr>
            </w:pPr>
            <w:r w:rsidRPr="001203DB">
              <w:rPr>
                <w:rFonts w:cs="Arial"/>
              </w:rPr>
              <w:t>de aios?</w:t>
            </w:r>
          </w:p>
          <w:p w:rsidR="001203DB" w:rsidRPr="001203DB" w:rsidRDefault="00251AAC" w:rsidP="00251AAC">
            <w:pPr>
              <w:pStyle w:val="Lijstalinea"/>
              <w:rPr>
                <w:rFonts w:cs="Arial"/>
              </w:rPr>
            </w:pPr>
            <w:r>
              <w:rPr>
                <w:rFonts w:cs="Arial"/>
              </w:rPr>
              <w:t xml:space="preserve">b. </w:t>
            </w:r>
            <w:r w:rsidR="001203DB" w:rsidRPr="001203DB">
              <w:rPr>
                <w:rFonts w:cs="Arial"/>
              </w:rPr>
              <w:t>Welke ondersteuning heb je nodig?</w:t>
            </w:r>
            <w:r w:rsidR="005E533B">
              <w:rPr>
                <w:rFonts w:cs="Arial"/>
              </w:rPr>
              <w:t xml:space="preserve"> (per doelgroep)</w:t>
            </w:r>
          </w:p>
          <w:p w:rsidR="005E533B" w:rsidRPr="00251AAC" w:rsidRDefault="00251AAC" w:rsidP="00251AAC">
            <w:pPr>
              <w:ind w:left="708"/>
              <w:rPr>
                <w:rFonts w:cs="Arial"/>
                <w:i/>
              </w:rPr>
            </w:pPr>
            <w:r w:rsidRPr="00251AAC">
              <w:rPr>
                <w:rFonts w:cs="Arial"/>
                <w:i/>
              </w:rPr>
              <w:t xml:space="preserve">Aandachtspunt voor de discussie: </w:t>
            </w:r>
            <w:r w:rsidR="005E533B" w:rsidRPr="00251AAC">
              <w:rPr>
                <w:rFonts w:cs="Arial"/>
                <w:i/>
              </w:rPr>
              <w:t>Hoe zorg je ervoor dat de beslissing wordt gedragen door de gehele opleidingsgroep?</w:t>
            </w:r>
          </w:p>
          <w:p w:rsidR="005E533B" w:rsidRDefault="005E533B" w:rsidP="005E533B">
            <w:pPr>
              <w:rPr>
                <w:rFonts w:cs="Arial"/>
              </w:rPr>
            </w:pPr>
          </w:p>
          <w:p w:rsidR="005E533B" w:rsidRPr="001203DB" w:rsidRDefault="005E533B" w:rsidP="005E533B">
            <w:pPr>
              <w:pStyle w:val="Lijstalinea"/>
              <w:numPr>
                <w:ilvl w:val="0"/>
                <w:numId w:val="19"/>
              </w:numPr>
              <w:rPr>
                <w:rFonts w:cs="Arial"/>
              </w:rPr>
            </w:pPr>
            <w:r>
              <w:rPr>
                <w:rFonts w:cs="Arial"/>
              </w:rPr>
              <w:t xml:space="preserve">Wat is er nodig om de OOG bespreking/het </w:t>
            </w:r>
            <w:proofErr w:type="spellStart"/>
            <w:r>
              <w:rPr>
                <w:rFonts w:cs="Arial"/>
              </w:rPr>
              <w:t>bekwaamverklaren</w:t>
            </w:r>
            <w:proofErr w:type="spellEnd"/>
            <w:r>
              <w:rPr>
                <w:rFonts w:cs="Arial"/>
              </w:rPr>
              <w:t xml:space="preserve"> te organiseren? </w:t>
            </w:r>
          </w:p>
          <w:p w:rsidR="001203DB" w:rsidRPr="00251AAC" w:rsidRDefault="00251AAC" w:rsidP="00251AAC">
            <w:pPr>
              <w:ind w:left="708"/>
              <w:rPr>
                <w:rFonts w:cs="Arial"/>
                <w:i/>
              </w:rPr>
            </w:pPr>
            <w:r w:rsidRPr="00251AAC">
              <w:rPr>
                <w:rFonts w:cs="Arial"/>
                <w:i/>
              </w:rPr>
              <w:t xml:space="preserve">Aandachtspunt voor de discussie: </w:t>
            </w:r>
            <w:r w:rsidR="001203DB" w:rsidRPr="00251AAC">
              <w:rPr>
                <w:rFonts w:cs="Arial"/>
                <w:i/>
              </w:rPr>
              <w:t xml:space="preserve">Hoe worden de </w:t>
            </w:r>
            <w:proofErr w:type="spellStart"/>
            <w:r w:rsidR="001203DB" w:rsidRPr="00251AAC">
              <w:rPr>
                <w:rFonts w:cs="Arial"/>
                <w:i/>
              </w:rPr>
              <w:t>aios</w:t>
            </w:r>
            <w:proofErr w:type="spellEnd"/>
            <w:r w:rsidR="001203DB" w:rsidRPr="00251AAC">
              <w:rPr>
                <w:rFonts w:cs="Arial"/>
                <w:i/>
              </w:rPr>
              <w:t xml:space="preserve"> en de opleidingsgroep geïnformeerd over de beslissing?</w:t>
            </w:r>
          </w:p>
          <w:p w:rsidR="00251AAC" w:rsidRPr="00251AAC" w:rsidRDefault="00251AAC" w:rsidP="00251AAC">
            <w:pPr>
              <w:rPr>
                <w:rFonts w:cs="Arial"/>
              </w:rPr>
            </w:pPr>
          </w:p>
          <w:p w:rsidR="001203DB" w:rsidRPr="001203DB" w:rsidRDefault="001203DB" w:rsidP="005E533B">
            <w:pPr>
              <w:pStyle w:val="Lijstalinea"/>
              <w:numPr>
                <w:ilvl w:val="0"/>
                <w:numId w:val="19"/>
              </w:numPr>
              <w:rPr>
                <w:rFonts w:cs="Arial"/>
              </w:rPr>
            </w:pPr>
            <w:r w:rsidRPr="001203DB">
              <w:rPr>
                <w:rFonts w:cs="Arial"/>
              </w:rPr>
              <w:t xml:space="preserve">Hoe zorg je ervoor dat het supervisieniveau “zelfstandig uitvoeren met evaluatie achteraf” daadwerkelijk wordt gehanteerd nadat de aios bekwaam verklaard is op een onderdeel? </w:t>
            </w:r>
          </w:p>
          <w:p w:rsidR="002D4DC3" w:rsidRDefault="002D4DC3" w:rsidP="002D4DC3">
            <w:pPr>
              <w:rPr>
                <w:szCs w:val="22"/>
              </w:rPr>
            </w:pPr>
          </w:p>
          <w:p w:rsidR="001203DB" w:rsidRDefault="002D4DC3" w:rsidP="002D4DC3">
            <w:pPr>
              <w:rPr>
                <w:szCs w:val="22"/>
              </w:rPr>
            </w:pPr>
            <w:r>
              <w:rPr>
                <w:szCs w:val="22"/>
              </w:rPr>
              <w:t>Deel antwoordkaarten uit en stiften. Laat de deelnemers per vraag hun antwoord op de kaarten/post-</w:t>
            </w:r>
            <w:proofErr w:type="spellStart"/>
            <w:r>
              <w:rPr>
                <w:szCs w:val="22"/>
              </w:rPr>
              <w:t>its</w:t>
            </w:r>
            <w:proofErr w:type="spellEnd"/>
            <w:r>
              <w:rPr>
                <w:szCs w:val="22"/>
              </w:rPr>
              <w:t xml:space="preserve"> schrijven en ophangen. Belangrijk is dat er geen kreten, maar volledige antwoorden op staan. Daarna mag er gediscussieerd worden. Leid de nabespreking door verdiepende vragen te stellen. Hang kaarten die bij elkaar horen in een groep op. Schrijf er met stift een titel bij. </w:t>
            </w:r>
          </w:p>
          <w:p w:rsidR="002D4DC3" w:rsidRDefault="002D4DC3" w:rsidP="002D4DC3">
            <w:pPr>
              <w:rPr>
                <w:szCs w:val="22"/>
              </w:rPr>
            </w:pPr>
          </w:p>
          <w:p w:rsidR="002D4DC3" w:rsidRPr="002D4DC3" w:rsidRDefault="002D4DC3" w:rsidP="002D4DC3">
            <w:pPr>
              <w:rPr>
                <w:szCs w:val="22"/>
              </w:rPr>
            </w:pPr>
            <w:r>
              <w:rPr>
                <w:szCs w:val="22"/>
              </w:rPr>
              <w:t xml:space="preserve">Herhaal dit voor iedere vraag. </w:t>
            </w:r>
          </w:p>
        </w:tc>
        <w:tc>
          <w:tcPr>
            <w:tcW w:w="590" w:type="pct"/>
          </w:tcPr>
          <w:p w:rsidR="001203DB" w:rsidRPr="008F522A" w:rsidRDefault="001203DB" w:rsidP="006D61E7">
            <w:pPr>
              <w:rPr>
                <w:szCs w:val="22"/>
              </w:rPr>
            </w:pPr>
          </w:p>
        </w:tc>
        <w:tc>
          <w:tcPr>
            <w:tcW w:w="608" w:type="pct"/>
          </w:tcPr>
          <w:p w:rsidR="001203DB" w:rsidRDefault="009C15B0" w:rsidP="006D61E7">
            <w:pPr>
              <w:rPr>
                <w:szCs w:val="22"/>
              </w:rPr>
            </w:pPr>
            <w:proofErr w:type="spellStart"/>
            <w:r>
              <w:rPr>
                <w:szCs w:val="22"/>
              </w:rPr>
              <w:t>Flaps</w:t>
            </w:r>
            <w:proofErr w:type="spellEnd"/>
          </w:p>
          <w:p w:rsidR="009C15B0" w:rsidRDefault="009C15B0" w:rsidP="006D61E7">
            <w:pPr>
              <w:rPr>
                <w:szCs w:val="22"/>
              </w:rPr>
            </w:pPr>
            <w:r>
              <w:rPr>
                <w:szCs w:val="22"/>
              </w:rPr>
              <w:t xml:space="preserve">Stiften </w:t>
            </w:r>
          </w:p>
          <w:p w:rsidR="009C15B0" w:rsidRDefault="009C15B0" w:rsidP="006D61E7">
            <w:pPr>
              <w:rPr>
                <w:szCs w:val="22"/>
              </w:rPr>
            </w:pPr>
            <w:r>
              <w:rPr>
                <w:szCs w:val="22"/>
              </w:rPr>
              <w:t xml:space="preserve">Moderatiekoffer </w:t>
            </w:r>
          </w:p>
        </w:tc>
      </w:tr>
      <w:tr w:rsidR="005319FD" w:rsidRPr="008B11A6" w:rsidTr="006D61E7">
        <w:tc>
          <w:tcPr>
            <w:tcW w:w="489" w:type="pct"/>
          </w:tcPr>
          <w:p w:rsidR="00361C60" w:rsidRDefault="00361C60" w:rsidP="006D61E7">
            <w:pPr>
              <w:rPr>
                <w:szCs w:val="22"/>
              </w:rPr>
            </w:pPr>
            <w:r>
              <w:rPr>
                <w:szCs w:val="22"/>
              </w:rPr>
              <w:t>10.40-10.50</w:t>
            </w:r>
          </w:p>
          <w:p w:rsidR="005319FD" w:rsidRDefault="00361C60" w:rsidP="006D61E7">
            <w:pPr>
              <w:rPr>
                <w:szCs w:val="22"/>
              </w:rPr>
            </w:pPr>
            <w:r>
              <w:rPr>
                <w:szCs w:val="22"/>
              </w:rPr>
              <w:t>10’</w:t>
            </w:r>
          </w:p>
        </w:tc>
        <w:tc>
          <w:tcPr>
            <w:tcW w:w="953" w:type="pct"/>
          </w:tcPr>
          <w:p w:rsidR="005319FD" w:rsidRDefault="005319FD" w:rsidP="001203DB">
            <w:pPr>
              <w:rPr>
                <w:szCs w:val="22"/>
              </w:rPr>
            </w:pPr>
            <w:r>
              <w:rPr>
                <w:szCs w:val="22"/>
              </w:rPr>
              <w:t>Omgaan met bekwaamverklaringen van een andere kliniek</w:t>
            </w:r>
          </w:p>
          <w:p w:rsidR="005319FD" w:rsidRDefault="005319FD" w:rsidP="001203DB">
            <w:pPr>
              <w:rPr>
                <w:szCs w:val="22"/>
              </w:rPr>
            </w:pPr>
          </w:p>
        </w:tc>
        <w:tc>
          <w:tcPr>
            <w:tcW w:w="2360" w:type="pct"/>
          </w:tcPr>
          <w:p w:rsidR="00361C60" w:rsidRDefault="00361C60" w:rsidP="007F4BDB">
            <w:pPr>
              <w:rPr>
                <w:rFonts w:cs="Arial"/>
              </w:rPr>
            </w:pPr>
            <w:r>
              <w:rPr>
                <w:rFonts w:cs="Arial"/>
              </w:rPr>
              <w:t>Discussie vraag:</w:t>
            </w:r>
          </w:p>
          <w:p w:rsidR="00AB3C41" w:rsidRPr="00361C60" w:rsidRDefault="00AB3C41" w:rsidP="007F4BDB">
            <w:pPr>
              <w:rPr>
                <w:rFonts w:cs="Arial"/>
                <w:i/>
              </w:rPr>
            </w:pPr>
            <w:r w:rsidRPr="00361C60">
              <w:rPr>
                <w:rFonts w:cs="Arial"/>
                <w:i/>
              </w:rPr>
              <w:t>Hoe zorg je ervoor dat de beslissing gedragen wordt in de andere kliniek?</w:t>
            </w:r>
          </w:p>
          <w:p w:rsidR="00AB3C41" w:rsidRDefault="00AB3C41" w:rsidP="006D61E7">
            <w:pPr>
              <w:rPr>
                <w:szCs w:val="22"/>
              </w:rPr>
            </w:pPr>
          </w:p>
          <w:p w:rsidR="005319FD" w:rsidRDefault="005319FD" w:rsidP="00361C60">
            <w:pPr>
              <w:rPr>
                <w:szCs w:val="22"/>
              </w:rPr>
            </w:pPr>
            <w:r>
              <w:rPr>
                <w:szCs w:val="22"/>
              </w:rPr>
              <w:t xml:space="preserve">Hoe ga je daar </w:t>
            </w:r>
            <w:r w:rsidR="007F4BDB">
              <w:rPr>
                <w:szCs w:val="22"/>
              </w:rPr>
              <w:t xml:space="preserve">zelf </w:t>
            </w:r>
            <w:r>
              <w:rPr>
                <w:szCs w:val="22"/>
              </w:rPr>
              <w:t>mee om?</w:t>
            </w:r>
            <w:r w:rsidR="00361C60">
              <w:rPr>
                <w:szCs w:val="22"/>
              </w:rPr>
              <w:t xml:space="preserve"> </w:t>
            </w:r>
            <w:r>
              <w:rPr>
                <w:szCs w:val="22"/>
              </w:rPr>
              <w:t>De verantwoordelijkheid als supervisor houd je altijd.</w:t>
            </w:r>
            <w:r w:rsidR="00361C60">
              <w:rPr>
                <w:szCs w:val="22"/>
              </w:rPr>
              <w:t xml:space="preserve"> </w:t>
            </w:r>
            <w:r>
              <w:rPr>
                <w:szCs w:val="22"/>
              </w:rPr>
              <w:t xml:space="preserve">Inwerken hoort erbij, je kunt iets maar moet het nu in een nieuwe context toepassen. </w:t>
            </w:r>
          </w:p>
          <w:p w:rsidR="00361C60" w:rsidRDefault="00361C60" w:rsidP="00361C60">
            <w:pPr>
              <w:rPr>
                <w:szCs w:val="22"/>
              </w:rPr>
            </w:pPr>
          </w:p>
        </w:tc>
        <w:tc>
          <w:tcPr>
            <w:tcW w:w="590" w:type="pct"/>
          </w:tcPr>
          <w:p w:rsidR="005319FD" w:rsidRPr="008F522A" w:rsidRDefault="005319FD" w:rsidP="006D61E7">
            <w:pPr>
              <w:rPr>
                <w:szCs w:val="22"/>
              </w:rPr>
            </w:pPr>
          </w:p>
        </w:tc>
        <w:tc>
          <w:tcPr>
            <w:tcW w:w="608" w:type="pct"/>
          </w:tcPr>
          <w:p w:rsidR="005319FD" w:rsidRDefault="005319FD" w:rsidP="006D61E7">
            <w:pPr>
              <w:rPr>
                <w:szCs w:val="22"/>
              </w:rPr>
            </w:pPr>
            <w:r>
              <w:rPr>
                <w:szCs w:val="22"/>
              </w:rPr>
              <w:t>PPT</w:t>
            </w:r>
          </w:p>
        </w:tc>
      </w:tr>
      <w:tr w:rsidR="001203DB" w:rsidRPr="008B11A6" w:rsidTr="006D61E7">
        <w:tc>
          <w:tcPr>
            <w:tcW w:w="489" w:type="pct"/>
          </w:tcPr>
          <w:p w:rsidR="00630BAE" w:rsidRDefault="00630BAE" w:rsidP="006D61E7">
            <w:pPr>
              <w:rPr>
                <w:szCs w:val="22"/>
              </w:rPr>
            </w:pPr>
            <w:r>
              <w:rPr>
                <w:szCs w:val="22"/>
              </w:rPr>
              <w:t>10.50-11.00</w:t>
            </w:r>
          </w:p>
          <w:p w:rsidR="001203DB" w:rsidRDefault="00630BAE" w:rsidP="006D61E7">
            <w:pPr>
              <w:rPr>
                <w:szCs w:val="22"/>
              </w:rPr>
            </w:pPr>
            <w:r>
              <w:rPr>
                <w:szCs w:val="22"/>
              </w:rPr>
              <w:t>10’</w:t>
            </w:r>
          </w:p>
        </w:tc>
        <w:tc>
          <w:tcPr>
            <w:tcW w:w="953" w:type="pct"/>
          </w:tcPr>
          <w:p w:rsidR="001203DB" w:rsidRDefault="00630BAE" w:rsidP="001203DB">
            <w:pPr>
              <w:rPr>
                <w:szCs w:val="22"/>
              </w:rPr>
            </w:pPr>
            <w:r>
              <w:rPr>
                <w:szCs w:val="22"/>
              </w:rPr>
              <w:t>Afsluiting</w:t>
            </w:r>
          </w:p>
        </w:tc>
        <w:tc>
          <w:tcPr>
            <w:tcW w:w="2360" w:type="pct"/>
          </w:tcPr>
          <w:p w:rsidR="001203DB" w:rsidRDefault="001203DB" w:rsidP="006D61E7">
            <w:pPr>
              <w:rPr>
                <w:szCs w:val="22"/>
              </w:rPr>
            </w:pPr>
          </w:p>
        </w:tc>
        <w:tc>
          <w:tcPr>
            <w:tcW w:w="590" w:type="pct"/>
          </w:tcPr>
          <w:p w:rsidR="001203DB" w:rsidRPr="008F522A" w:rsidRDefault="001203DB" w:rsidP="006D61E7">
            <w:pPr>
              <w:rPr>
                <w:szCs w:val="22"/>
              </w:rPr>
            </w:pPr>
          </w:p>
        </w:tc>
        <w:tc>
          <w:tcPr>
            <w:tcW w:w="608" w:type="pct"/>
          </w:tcPr>
          <w:p w:rsidR="001203DB" w:rsidRDefault="00630BAE" w:rsidP="006D61E7">
            <w:pPr>
              <w:rPr>
                <w:szCs w:val="22"/>
              </w:rPr>
            </w:pPr>
            <w:r>
              <w:rPr>
                <w:szCs w:val="22"/>
              </w:rPr>
              <w:t>Evaluatieformulier</w:t>
            </w:r>
          </w:p>
        </w:tc>
      </w:tr>
    </w:tbl>
    <w:p w:rsidR="00BA2A20" w:rsidRDefault="00BA2A20" w:rsidP="008F522A">
      <w:pPr>
        <w:rPr>
          <w:sz w:val="18"/>
        </w:rPr>
        <w:sectPr w:rsidR="00BA2A20" w:rsidSect="008F522A">
          <w:pgSz w:w="16838" w:h="11906" w:orient="landscape"/>
          <w:pgMar w:top="720" w:right="720" w:bottom="720" w:left="720" w:header="708" w:footer="708" w:gutter="0"/>
          <w:cols w:space="708"/>
          <w:docGrid w:linePitch="272"/>
        </w:sectPr>
      </w:pPr>
    </w:p>
    <w:p w:rsidR="008F522A" w:rsidRPr="00D97BCC" w:rsidRDefault="008F522A" w:rsidP="008F522A">
      <w:pPr>
        <w:rPr>
          <w:b/>
        </w:rPr>
      </w:pPr>
    </w:p>
    <w:sectPr w:rsidR="008F522A" w:rsidRPr="00D97BCC" w:rsidSect="00C048A2">
      <w:pgSz w:w="11906" w:h="16838"/>
      <w:pgMar w:top="1417" w:right="1417" w:bottom="1417" w:left="1417"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4E"/>
    <w:multiLevelType w:val="hybridMultilevel"/>
    <w:tmpl w:val="0152FA5E"/>
    <w:lvl w:ilvl="0" w:tplc="6AE6922A">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7F4F01"/>
    <w:multiLevelType w:val="hybridMultilevel"/>
    <w:tmpl w:val="B41074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414C77"/>
    <w:multiLevelType w:val="hybridMultilevel"/>
    <w:tmpl w:val="4E241B6E"/>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1A071E"/>
    <w:multiLevelType w:val="hybridMultilevel"/>
    <w:tmpl w:val="A7A887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993792"/>
    <w:multiLevelType w:val="hybridMultilevel"/>
    <w:tmpl w:val="11BA6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D338E7"/>
    <w:multiLevelType w:val="hybridMultilevel"/>
    <w:tmpl w:val="A3BC0918"/>
    <w:lvl w:ilvl="0" w:tplc="67F2410E">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187580"/>
    <w:multiLevelType w:val="hybridMultilevel"/>
    <w:tmpl w:val="1C60F150"/>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611473"/>
    <w:multiLevelType w:val="hybridMultilevel"/>
    <w:tmpl w:val="4DC630C2"/>
    <w:lvl w:ilvl="0" w:tplc="5798F20C">
      <w:start w:val="7"/>
      <w:numFmt w:val="bullet"/>
      <w:lvlText w:val="-"/>
      <w:lvlJc w:val="left"/>
      <w:pPr>
        <w:ind w:left="1770" w:hanging="360"/>
      </w:pPr>
      <w:rPr>
        <w:rFonts w:ascii="Arial" w:eastAsia="Times New Roman"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8">
    <w:nsid w:val="2FDA0A06"/>
    <w:multiLevelType w:val="hybridMultilevel"/>
    <w:tmpl w:val="6CCA0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B945D75"/>
    <w:multiLevelType w:val="hybridMultilevel"/>
    <w:tmpl w:val="4238C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C21CC0"/>
    <w:multiLevelType w:val="hybridMultilevel"/>
    <w:tmpl w:val="43A0D4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E360471"/>
    <w:multiLevelType w:val="hybridMultilevel"/>
    <w:tmpl w:val="F5043E1E"/>
    <w:lvl w:ilvl="0" w:tplc="7730DE08">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9D4E5B"/>
    <w:multiLevelType w:val="hybridMultilevel"/>
    <w:tmpl w:val="F4306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8704E51"/>
    <w:multiLevelType w:val="hybridMultilevel"/>
    <w:tmpl w:val="6826F7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AD96096"/>
    <w:multiLevelType w:val="hybridMultilevel"/>
    <w:tmpl w:val="6CA6A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E697A13"/>
    <w:multiLevelType w:val="hybridMultilevel"/>
    <w:tmpl w:val="86AC076E"/>
    <w:lvl w:ilvl="0" w:tplc="5EE4C58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08E587C"/>
    <w:multiLevelType w:val="hybridMultilevel"/>
    <w:tmpl w:val="85208EB8"/>
    <w:lvl w:ilvl="0" w:tplc="4D8689D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3042505"/>
    <w:multiLevelType w:val="hybridMultilevel"/>
    <w:tmpl w:val="C6B0D4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8FF140F"/>
    <w:multiLevelType w:val="hybridMultilevel"/>
    <w:tmpl w:val="94366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5"/>
  </w:num>
  <w:num w:numId="5">
    <w:abstractNumId w:val="13"/>
  </w:num>
  <w:num w:numId="6">
    <w:abstractNumId w:val="12"/>
  </w:num>
  <w:num w:numId="7">
    <w:abstractNumId w:val="17"/>
  </w:num>
  <w:num w:numId="8">
    <w:abstractNumId w:val="18"/>
  </w:num>
  <w:num w:numId="9">
    <w:abstractNumId w:val="10"/>
  </w:num>
  <w:num w:numId="10">
    <w:abstractNumId w:val="14"/>
  </w:num>
  <w:num w:numId="11">
    <w:abstractNumId w:val="7"/>
  </w:num>
  <w:num w:numId="12">
    <w:abstractNumId w:val="8"/>
  </w:num>
  <w:num w:numId="13">
    <w:abstractNumId w:val="16"/>
  </w:num>
  <w:num w:numId="14">
    <w:abstractNumId w:val="11"/>
  </w:num>
  <w:num w:numId="15">
    <w:abstractNumId w:val="15"/>
  </w:num>
  <w:num w:numId="16">
    <w:abstractNumId w:val="0"/>
  </w:num>
  <w:num w:numId="17">
    <w:abstractNumId w:val="9"/>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3E"/>
    <w:rsid w:val="00021340"/>
    <w:rsid w:val="000215AF"/>
    <w:rsid w:val="0004533E"/>
    <w:rsid w:val="0005257E"/>
    <w:rsid w:val="00065F7C"/>
    <w:rsid w:val="00076AB2"/>
    <w:rsid w:val="000C464E"/>
    <w:rsid w:val="00117431"/>
    <w:rsid w:val="001203DB"/>
    <w:rsid w:val="001523AB"/>
    <w:rsid w:val="00152728"/>
    <w:rsid w:val="001A6CE2"/>
    <w:rsid w:val="001C1F6E"/>
    <w:rsid w:val="001F309D"/>
    <w:rsid w:val="00220817"/>
    <w:rsid w:val="0024692B"/>
    <w:rsid w:val="00251AAC"/>
    <w:rsid w:val="002D4DC3"/>
    <w:rsid w:val="00347D71"/>
    <w:rsid w:val="003557A2"/>
    <w:rsid w:val="00361C60"/>
    <w:rsid w:val="00477D31"/>
    <w:rsid w:val="004866F1"/>
    <w:rsid w:val="004B1B24"/>
    <w:rsid w:val="004B4476"/>
    <w:rsid w:val="004D0DCB"/>
    <w:rsid w:val="005319FD"/>
    <w:rsid w:val="00570AA6"/>
    <w:rsid w:val="00597B41"/>
    <w:rsid w:val="005C7068"/>
    <w:rsid w:val="005E533B"/>
    <w:rsid w:val="00601A6F"/>
    <w:rsid w:val="00630BAE"/>
    <w:rsid w:val="006475B7"/>
    <w:rsid w:val="00671C0E"/>
    <w:rsid w:val="006B2C12"/>
    <w:rsid w:val="006D61E7"/>
    <w:rsid w:val="006E5B86"/>
    <w:rsid w:val="0075205F"/>
    <w:rsid w:val="00762C87"/>
    <w:rsid w:val="00763AC6"/>
    <w:rsid w:val="007E15E3"/>
    <w:rsid w:val="007F4BDB"/>
    <w:rsid w:val="008161AC"/>
    <w:rsid w:val="00824AD2"/>
    <w:rsid w:val="00880CD4"/>
    <w:rsid w:val="008B11A6"/>
    <w:rsid w:val="008D55E9"/>
    <w:rsid w:val="008D6C4C"/>
    <w:rsid w:val="008F522A"/>
    <w:rsid w:val="008F752E"/>
    <w:rsid w:val="00915962"/>
    <w:rsid w:val="009C15B0"/>
    <w:rsid w:val="009D24DC"/>
    <w:rsid w:val="00AB3C41"/>
    <w:rsid w:val="00AB642D"/>
    <w:rsid w:val="00AE0A55"/>
    <w:rsid w:val="00AE4E70"/>
    <w:rsid w:val="00B70749"/>
    <w:rsid w:val="00BA2A20"/>
    <w:rsid w:val="00C048A2"/>
    <w:rsid w:val="00C35098"/>
    <w:rsid w:val="00C579BF"/>
    <w:rsid w:val="00CD56E5"/>
    <w:rsid w:val="00CE69E6"/>
    <w:rsid w:val="00CF0CCD"/>
    <w:rsid w:val="00D97BCC"/>
    <w:rsid w:val="00DD4DB2"/>
    <w:rsid w:val="00E3061D"/>
    <w:rsid w:val="00E4787C"/>
    <w:rsid w:val="00E615B8"/>
    <w:rsid w:val="00EB053B"/>
    <w:rsid w:val="00F36D8C"/>
    <w:rsid w:val="00F636C6"/>
    <w:rsid w:val="00FE4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D61E7"/>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1E7"/>
    <w:rPr>
      <w:rFonts w:ascii="Tahoma" w:hAnsi="Tahoma" w:cs="Tahoma"/>
      <w:sz w:val="16"/>
      <w:szCs w:val="16"/>
    </w:rPr>
  </w:style>
  <w:style w:type="character" w:styleId="Tekstvantijdelijkeaanduiding">
    <w:name w:val="Placeholder Text"/>
    <w:basedOn w:val="Standaardalinea-lettertype"/>
    <w:uiPriority w:val="99"/>
    <w:semiHidden/>
    <w:rsid w:val="006D61E7"/>
    <w:rPr>
      <w:color w:val="808080"/>
    </w:rPr>
  </w:style>
  <w:style w:type="character" w:styleId="Hyperlink">
    <w:name w:val="Hyperlink"/>
    <w:basedOn w:val="Standaardalinea-lettertype"/>
    <w:uiPriority w:val="99"/>
    <w:unhideWhenUsed/>
    <w:rsid w:val="00BA2A20"/>
    <w:rPr>
      <w:color w:val="0000FF" w:themeColor="hyperlink"/>
      <w:u w:val="single"/>
    </w:rPr>
  </w:style>
  <w:style w:type="character" w:styleId="Verwijzingopmerking">
    <w:name w:val="annotation reference"/>
    <w:basedOn w:val="Standaardalinea-lettertype"/>
    <w:uiPriority w:val="99"/>
    <w:semiHidden/>
    <w:unhideWhenUsed/>
    <w:rsid w:val="004B4476"/>
    <w:rPr>
      <w:sz w:val="16"/>
      <w:szCs w:val="16"/>
    </w:rPr>
  </w:style>
  <w:style w:type="paragraph" w:styleId="Tekstopmerking">
    <w:name w:val="annotation text"/>
    <w:basedOn w:val="Standaard"/>
    <w:link w:val="TekstopmerkingChar"/>
    <w:uiPriority w:val="99"/>
    <w:semiHidden/>
    <w:unhideWhenUsed/>
    <w:rsid w:val="004B4476"/>
  </w:style>
  <w:style w:type="character" w:customStyle="1" w:styleId="TekstopmerkingChar">
    <w:name w:val="Tekst opmerking Char"/>
    <w:basedOn w:val="Standaardalinea-lettertype"/>
    <w:link w:val="Tekstopmerking"/>
    <w:uiPriority w:val="99"/>
    <w:semiHidden/>
    <w:rsid w:val="004B4476"/>
    <w:rPr>
      <w:rFonts w:ascii="Arial" w:hAnsi="Arial"/>
    </w:rPr>
  </w:style>
  <w:style w:type="paragraph" w:styleId="Onderwerpvanopmerking">
    <w:name w:val="annotation subject"/>
    <w:basedOn w:val="Tekstopmerking"/>
    <w:next w:val="Tekstopmerking"/>
    <w:link w:val="OnderwerpvanopmerkingChar"/>
    <w:uiPriority w:val="99"/>
    <w:semiHidden/>
    <w:unhideWhenUsed/>
    <w:rsid w:val="004B4476"/>
    <w:rPr>
      <w:b/>
      <w:bCs/>
    </w:rPr>
  </w:style>
  <w:style w:type="character" w:customStyle="1" w:styleId="OnderwerpvanopmerkingChar">
    <w:name w:val="Onderwerp van opmerking Char"/>
    <w:basedOn w:val="TekstopmerkingChar"/>
    <w:link w:val="Onderwerpvanopmerking"/>
    <w:uiPriority w:val="99"/>
    <w:semiHidden/>
    <w:rsid w:val="004B4476"/>
    <w:rPr>
      <w:rFonts w:ascii="Arial" w:hAnsi="Arial"/>
      <w:b/>
      <w:bCs/>
    </w:rPr>
  </w:style>
  <w:style w:type="character" w:styleId="GevolgdeHyperlink">
    <w:name w:val="FollowedHyperlink"/>
    <w:basedOn w:val="Standaardalinea-lettertype"/>
    <w:uiPriority w:val="99"/>
    <w:semiHidden/>
    <w:unhideWhenUsed/>
    <w:rsid w:val="00AE4E70"/>
    <w:rPr>
      <w:color w:val="800080" w:themeColor="followedHyperlink"/>
      <w:u w:val="single"/>
    </w:rPr>
  </w:style>
  <w:style w:type="paragraph" w:styleId="Normaalweb">
    <w:name w:val="Normal (Web)"/>
    <w:basedOn w:val="Standaard"/>
    <w:uiPriority w:val="99"/>
    <w:semiHidden/>
    <w:unhideWhenUsed/>
    <w:rsid w:val="00361C6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D61E7"/>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1E7"/>
    <w:rPr>
      <w:rFonts w:ascii="Tahoma" w:hAnsi="Tahoma" w:cs="Tahoma"/>
      <w:sz w:val="16"/>
      <w:szCs w:val="16"/>
    </w:rPr>
  </w:style>
  <w:style w:type="character" w:styleId="Tekstvantijdelijkeaanduiding">
    <w:name w:val="Placeholder Text"/>
    <w:basedOn w:val="Standaardalinea-lettertype"/>
    <w:uiPriority w:val="99"/>
    <w:semiHidden/>
    <w:rsid w:val="006D61E7"/>
    <w:rPr>
      <w:color w:val="808080"/>
    </w:rPr>
  </w:style>
  <w:style w:type="character" w:styleId="Hyperlink">
    <w:name w:val="Hyperlink"/>
    <w:basedOn w:val="Standaardalinea-lettertype"/>
    <w:uiPriority w:val="99"/>
    <w:unhideWhenUsed/>
    <w:rsid w:val="00BA2A20"/>
    <w:rPr>
      <w:color w:val="0000FF" w:themeColor="hyperlink"/>
      <w:u w:val="single"/>
    </w:rPr>
  </w:style>
  <w:style w:type="character" w:styleId="Verwijzingopmerking">
    <w:name w:val="annotation reference"/>
    <w:basedOn w:val="Standaardalinea-lettertype"/>
    <w:uiPriority w:val="99"/>
    <w:semiHidden/>
    <w:unhideWhenUsed/>
    <w:rsid w:val="004B4476"/>
    <w:rPr>
      <w:sz w:val="16"/>
      <w:szCs w:val="16"/>
    </w:rPr>
  </w:style>
  <w:style w:type="paragraph" w:styleId="Tekstopmerking">
    <w:name w:val="annotation text"/>
    <w:basedOn w:val="Standaard"/>
    <w:link w:val="TekstopmerkingChar"/>
    <w:uiPriority w:val="99"/>
    <w:semiHidden/>
    <w:unhideWhenUsed/>
    <w:rsid w:val="004B4476"/>
  </w:style>
  <w:style w:type="character" w:customStyle="1" w:styleId="TekstopmerkingChar">
    <w:name w:val="Tekst opmerking Char"/>
    <w:basedOn w:val="Standaardalinea-lettertype"/>
    <w:link w:val="Tekstopmerking"/>
    <w:uiPriority w:val="99"/>
    <w:semiHidden/>
    <w:rsid w:val="004B4476"/>
    <w:rPr>
      <w:rFonts w:ascii="Arial" w:hAnsi="Arial"/>
    </w:rPr>
  </w:style>
  <w:style w:type="paragraph" w:styleId="Onderwerpvanopmerking">
    <w:name w:val="annotation subject"/>
    <w:basedOn w:val="Tekstopmerking"/>
    <w:next w:val="Tekstopmerking"/>
    <w:link w:val="OnderwerpvanopmerkingChar"/>
    <w:uiPriority w:val="99"/>
    <w:semiHidden/>
    <w:unhideWhenUsed/>
    <w:rsid w:val="004B4476"/>
    <w:rPr>
      <w:b/>
      <w:bCs/>
    </w:rPr>
  </w:style>
  <w:style w:type="character" w:customStyle="1" w:styleId="OnderwerpvanopmerkingChar">
    <w:name w:val="Onderwerp van opmerking Char"/>
    <w:basedOn w:val="TekstopmerkingChar"/>
    <w:link w:val="Onderwerpvanopmerking"/>
    <w:uiPriority w:val="99"/>
    <w:semiHidden/>
    <w:rsid w:val="004B4476"/>
    <w:rPr>
      <w:rFonts w:ascii="Arial" w:hAnsi="Arial"/>
      <w:b/>
      <w:bCs/>
    </w:rPr>
  </w:style>
  <w:style w:type="character" w:styleId="GevolgdeHyperlink">
    <w:name w:val="FollowedHyperlink"/>
    <w:basedOn w:val="Standaardalinea-lettertype"/>
    <w:uiPriority w:val="99"/>
    <w:semiHidden/>
    <w:unhideWhenUsed/>
    <w:rsid w:val="00AE4E70"/>
    <w:rPr>
      <w:color w:val="800080" w:themeColor="followedHyperlink"/>
      <w:u w:val="single"/>
    </w:rPr>
  </w:style>
  <w:style w:type="paragraph" w:styleId="Normaalweb">
    <w:name w:val="Normal (Web)"/>
    <w:basedOn w:val="Standaard"/>
    <w:uiPriority w:val="99"/>
    <w:semiHidden/>
    <w:unhideWhenUsed/>
    <w:rsid w:val="00361C6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6603">
      <w:bodyDiv w:val="1"/>
      <w:marLeft w:val="0"/>
      <w:marRight w:val="0"/>
      <w:marTop w:val="0"/>
      <w:marBottom w:val="0"/>
      <w:divBdr>
        <w:top w:val="none" w:sz="0" w:space="0" w:color="auto"/>
        <w:left w:val="none" w:sz="0" w:space="0" w:color="auto"/>
        <w:bottom w:val="none" w:sz="0" w:space="0" w:color="auto"/>
        <w:right w:val="none" w:sz="0" w:space="0" w:color="auto"/>
      </w:divBdr>
      <w:divsChild>
        <w:div w:id="1189953795">
          <w:marLeft w:val="547"/>
          <w:marRight w:val="0"/>
          <w:marTop w:val="96"/>
          <w:marBottom w:val="0"/>
          <w:divBdr>
            <w:top w:val="none" w:sz="0" w:space="0" w:color="auto"/>
            <w:left w:val="none" w:sz="0" w:space="0" w:color="auto"/>
            <w:bottom w:val="none" w:sz="0" w:space="0" w:color="auto"/>
            <w:right w:val="none" w:sz="0" w:space="0" w:color="auto"/>
          </w:divBdr>
        </w:div>
      </w:divsChild>
    </w:div>
    <w:div w:id="8635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edischevervolgopleidingen.nl/ondersteuningsmateriaal/filmpje-bekwaam-verklaren-ervaringen-kindergeneesku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schevervolgopleidingen.nl/ondersteuningsmateriaal/animatie-bekwaam-verklar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E891EA43</Template>
  <TotalTime>0</TotalTime>
  <Pages>3</Pages>
  <Words>509</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 - de Jong, Esther de - Onderwijskundig adviseur</dc:creator>
  <cp:lastModifiedBy>brouwerp</cp:lastModifiedBy>
  <cp:revision>2</cp:revision>
  <dcterms:created xsi:type="dcterms:W3CDTF">2018-01-15T08:31:00Z</dcterms:created>
  <dcterms:modified xsi:type="dcterms:W3CDTF">2018-01-15T08:31:00Z</dcterms:modified>
</cp:coreProperties>
</file>